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МРТ исследование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7"/>
        </w:num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НАПРАВЛЕНИЕ из поликлиники, амбулаторная карта, предыдущие исследования (КТ, МРТ), рекомендации лечащего врача (если платно)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7"/>
        </w:num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беруши</w:t>
      </w:r>
      <w:r>
        <w:rPr>
          <w:rFonts w:ascii="Times New Roman" w:hAnsi="Times New Roman" w:cs="Times New Roman"/>
          <w:sz w:val="28"/>
          <w:szCs w:val="28"/>
        </w:rPr>
        <w:t xml:space="preserve"> и вторая обувь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7"/>
        </w:num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просторную и удобную одежду, в которой нет никакой металлической фурнитуру. Маленьким детям - полотенце.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Прийти за 40 минут до проведения исследования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МРТ исследование</w:t>
      </w:r>
      <w:r>
        <w:rPr>
          <w:b/>
          <w:bCs/>
        </w:rPr>
      </w:r>
      <w:bookmarkStart w:id="0" w:name="_GoBack"/>
      <w:r>
        <w:rPr>
          <w:b/>
          <w:bCs/>
        </w:rPr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наркозо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, сдать анализы и принести результат: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НАПРАВЛЕНИЕ на исследование из поликлиники, амбулаторная карта, предыдущие исследования (КТ, МРТ), рекомендации лечащего врача (если платно)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НАПРАВЛЕНИЕ на наркоз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анализ крови (годность в течение 1 недели),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ЭКГ (годность в течение 2 недель),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Биохимический анализ крови (годность в течение 2 недель):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1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1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1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Мочевина,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1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Креатинин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НАПРАВЛЕНИЕ из поликлиники, амбулаторная карта, предыдущие исследования (КТ, МРТ), рекомендации лечащего врача (если платно)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беруши</w:t>
      </w:r>
      <w:r>
        <w:rPr>
          <w:rFonts w:ascii="Times New Roman" w:hAnsi="Times New Roman" w:cs="Times New Roman"/>
          <w:sz w:val="28"/>
          <w:szCs w:val="28"/>
        </w:rPr>
        <w:t xml:space="preserve"> и вторая обувь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1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просторную и удобную одежду, в которой нет никакой металлической фурнитуру. Маленьким детям - полотенце.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0"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Прийти за 40 минут до проведения исследования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КОРМЛЕНИЯ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ЕРЕД НАРКОЗОМ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31"/>
        <w:numPr>
          <w:ilvl w:val="0"/>
          <w:numId w:val="8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прием пищи за 6 часов до наркоза.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8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прием </w:t>
      </w:r>
      <w:r>
        <w:rPr>
          <w:rFonts w:ascii="Times New Roman" w:hAnsi="Times New Roman" w:cs="Times New Roman"/>
          <w:sz w:val="28"/>
          <w:szCs w:val="28"/>
        </w:rPr>
        <w:t xml:space="preserve">жидкости (воды)</w:t>
      </w:r>
      <w:r>
        <w:rPr>
          <w:rFonts w:ascii="Times New Roman" w:hAnsi="Times New Roman" w:cs="Times New Roman"/>
          <w:sz w:val="28"/>
          <w:szCs w:val="28"/>
        </w:rPr>
        <w:t xml:space="preserve"> за 4 часа до наркоза исключить газированную воду, соки, мус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8"/>
        </w:numPr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грудным молоком (не молочными смесями!!!!) можно за 4 часа до наркоза.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0"/>
          <w:numId w:val="8"/>
        </w:num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лекарств через рот: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1"/>
          <w:numId w:val="8"/>
        </w:num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таблетированные</w:t>
      </w:r>
      <w:r>
        <w:rPr>
          <w:rFonts w:ascii="Times New Roman" w:hAnsi="Times New Roman" w:cs="Times New Roman"/>
          <w:sz w:val="28"/>
          <w:szCs w:val="28"/>
        </w:rPr>
        <w:t xml:space="preserve"> формы — за 6 часов до наркоза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1"/>
        <w:numPr>
          <w:ilvl w:val="1"/>
          <w:numId w:val="8"/>
        </w:numPr>
        <w:pBdr/>
        <w:spacing w:after="0"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жидкие формы — за 4 часа до наркоза.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rPr/>
      </w:pPr>
    </w:p>
    <w:sectPr>
      <w:footnotePr/>
      <w:endnotePr/>
      <w:type w:val="nextPage"/>
      <w:pgSz w:h="16838" w:orient="portrait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2)"/>
      <w:numFmt w:val="lowerLetter"/>
      <w:pPr>
        <w:pBdr/>
        <w:spacing/>
        <w:ind w:hanging="360" w:left="720"/>
      </w:pPr>
      <w:rPr/>
      <w:start w:val="1"/>
      <w:suff w:val="tab"/>
    </w:lvl>
    <w:lvl w:ilvl="2">
      <w:isLgl w:val="false"/>
      <w:lvlJc w:val="left"/>
      <w:lvlText w:val="%3)"/>
      <w:numFmt w:val="lowerRoman"/>
      <w:pPr>
        <w:pBdr/>
        <w:spacing/>
        <w:ind w:hanging="360" w:left="1080"/>
      </w:pPr>
      <w:rPr/>
      <w:start w:val="1"/>
      <w:suff w:val="tab"/>
    </w:lvl>
    <w:lvl w:ilvl="3">
      <w:isLgl w:val="false"/>
      <w:lvlJc w:val="left"/>
      <w:lvlText w:val="(%4)"/>
      <w:numFmt w:val="decimal"/>
      <w:pPr>
        <w:pBdr/>
        <w:spacing/>
        <w:ind w:hanging="360" w:left="1440"/>
      </w:pPr>
      <w:rPr/>
      <w:start w:val="1"/>
      <w:suff w:val="tab"/>
    </w:lvl>
    <w:lvl w:ilvl="4">
      <w:isLgl w:val="false"/>
      <w:lvlJc w:val="left"/>
      <w:lvlText w:val="(%5)"/>
      <w:numFmt w:val="lowerLetter"/>
      <w:pPr>
        <w:pBdr/>
        <w:spacing/>
        <w:ind w:hanging="360" w:left="1800"/>
      </w:pPr>
      <w:rPr/>
      <w:start w:val="1"/>
      <w:suff w:val="tab"/>
    </w:lvl>
    <w:lvl w:ilvl="5">
      <w:isLgl w:val="false"/>
      <w:lvlJc w:val="left"/>
      <w:lvlText w:val="(%6)"/>
      <w:numFmt w:val="lowerRoman"/>
      <w:pPr>
        <w:pBdr/>
        <w:spacing/>
        <w:ind w:hanging="360" w:left="21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252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2880"/>
      </w:pPr>
      <w:rPr/>
      <w:start w:val="1"/>
      <w:suff w:val="tab"/>
    </w:lvl>
    <w:lvl w:ilvl="8">
      <w:isLgl w:val="false"/>
      <w:lvlJc w:val="left"/>
      <w:lvlText w:val="%9."/>
      <w:numFmt w:val="lowerRoman"/>
      <w:pPr>
        <w:pBdr/>
        <w:spacing/>
        <w:ind w:hanging="360" w:left="324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84" w:left="1235"/>
      </w:pPr>
      <w:rPr>
        <w:rFonts w:hint="default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2062"/>
      </w:pPr>
      <w:rPr>
        <w:rFonts w:hint="default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2553"/>
      </w:pPr>
      <w:rPr>
        <w:rFonts w:hint="default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3404"/>
      </w:pPr>
      <w:rPr>
        <w:rFonts w:hint="default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3895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440" w:left="4746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5237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6088"/>
      </w:pPr>
      <w:rPr>
        <w:rFonts w:hint="default"/>
      </w:rPr>
      <w:start w:val="1"/>
      <w:suff w:val="tab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40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7"/>
    <w:next w:val="62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8"/>
    <w:link w:val="42"/>
    <w:uiPriority w:val="99"/>
    <w:pPr>
      <w:pBdr/>
      <w:spacing/>
      <w:ind/>
    </w:pPr>
  </w:style>
  <w:style w:type="paragraph" w:styleId="44">
    <w:name w:val="Footer"/>
    <w:basedOn w:val="62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8"/>
    <w:link w:val="44"/>
    <w:uiPriority w:val="99"/>
    <w:pPr>
      <w:pBdr/>
      <w:spacing/>
      <w:ind/>
    </w:pPr>
  </w:style>
  <w:style w:type="paragraph" w:styleId="46">
    <w:name w:val="Caption"/>
    <w:basedOn w:val="627"/>
    <w:next w:val="62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2" w:fill="dce6f1" w:themeFill="accent1" w:themeFillTint="32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text1" w:themeTint="75" w:fill="8a8a8a" w:themeFill="text1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75" w:fill="8a8a8a" w:themeFill="text1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1" w:themeTint="75" w:fill="adc5e0" w:themeFill="accent1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1" w:themeTint="75" w:fill="adc5e0" w:themeFill="accent1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2" w:themeTint="75" w:fill="e1adac" w:themeFill="accent2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2" w:themeTint="75" w:fill="e1adac" w:themeFill="accent2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3" w:themeTint="75" w:fill="d1dfb2" w:themeFill="accent3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3" w:themeTint="75" w:fill="d1dfb2" w:themeFill="accent3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4" w:themeTint="75" w:fill="c4b7d4" w:themeFill="accent4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4" w:themeTint="75" w:fill="c4b7d4" w:themeFill="accent4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5" w:themeTint="75" w:fill="abd9e4" w:themeFill="accent5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5" w:themeTint="75" w:fill="abd9e4" w:themeFill="accent5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6" w:themeTint="75" w:fill="fbcda8" w:themeFill="accent6" w:themeFillTint="75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6" w:themeTint="75" w:fill="fbcda8" w:themeFill="accent6" w:themeFillTint="75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fill="000000" w:themeFill="text1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fill="4f81bd" w:themeFill="accent1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fill="000000" w:themeFill="text1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fill="4f81bd" w:themeFill="accent1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fill="c0504d" w:themeFill="accent2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fill="9bbb59" w:themeFill="accent3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fill="8064a2" w:themeFill="accent4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pPr>
        <w:pBdr/>
        <w:spacing/>
        <w:ind/>
      </w:pPr>
      <w:tblPr>
        <w:tblBorders/>
      </w:tblPr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1Vert">
      <w:pPr>
        <w:pBdr/>
        <w:spacing/>
        <w:ind/>
      </w:pPr>
      <w:tblPr>
        <w:tblBorders/>
      </w:tblPr>
      <w:tcPr>
        <w:tcBorders/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text1" w:themeTint="80" w:fill="7f7f7f" w:themeFill="text1" w:themeFillTint="80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1" w:themeTint="EA" w:fill="5d8dc2" w:themeFill="accent1" w:themeFillTint="EA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2" w:themeTint="97" w:fill="d99694" w:themeFill="accent2" w:themeFillTint="97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3" w:themeTint="FE" w:fill="9bba59" w:themeFill="accent3" w:themeFillTint="FE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4" w:themeTint="9A" w:fill="b2a1c6" w:themeFill="accent4" w:themeFillTint="9A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5" w:fill="4bacc6" w:themeFill="accent5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tcBorders/>
        <w:shd w:val="clear" w:color="ffffff" w:themeColor="accent6" w:fill="f79646" w:themeFill="accent6"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7"/>
    <w:next w:val="62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7"/>
    <w:next w:val="62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7"/>
    <w:next w:val="62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7"/>
    <w:next w:val="62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7"/>
    <w:next w:val="62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7"/>
    <w:next w:val="62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7"/>
    <w:next w:val="62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7"/>
    <w:next w:val="62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7"/>
    <w:next w:val="627"/>
    <w:uiPriority w:val="99"/>
    <w:unhideWhenUsed/>
    <w:pPr>
      <w:pBdr/>
      <w:spacing w:after="0" w:afterAutospacing="0"/>
      <w:ind/>
    </w:pPr>
  </w:style>
  <w:style w:type="paragraph" w:styleId="627" w:default="1">
    <w:name w:val="Normal"/>
    <w:qFormat/>
    <w:pPr>
      <w:pBdr/>
      <w:spacing/>
      <w:ind/>
    </w:pPr>
  </w:style>
  <w:style w:type="character" w:styleId="628" w:default="1">
    <w:name w:val="Default Paragraph Font"/>
    <w:uiPriority w:val="1"/>
    <w:semiHidden/>
    <w:unhideWhenUsed/>
    <w:pPr>
      <w:pBdr/>
      <w:spacing/>
      <w:ind/>
    </w:pPr>
  </w:style>
  <w:style w:type="table" w:styleId="62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0" w:default="1">
    <w:name w:val="No List"/>
    <w:uiPriority w:val="99"/>
    <w:semiHidden/>
    <w:unhideWhenUsed/>
    <w:pPr>
      <w:pBdr/>
      <w:spacing/>
      <w:ind/>
    </w:pPr>
  </w:style>
  <w:style w:type="paragraph" w:styleId="631">
    <w:name w:val="List Paragraph"/>
    <w:basedOn w:val="627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moshkov.dv</dc:creator>
  <cp:revision>3</cp:revision>
  <dcterms:created xsi:type="dcterms:W3CDTF">2020-04-21T10:19:00Z</dcterms:created>
  <dcterms:modified xsi:type="dcterms:W3CDTF">2024-01-15T08:20:55Z</dcterms:modified>
</cp:coreProperties>
</file>